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0140.xml.htm"/>
      <w:bookmarkStart w:id="1" w:name="kswkform4_17836301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Payne Abby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People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113"/>
        <w:gridCol w:w="96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916,497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7,533</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908,964</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16,999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891,965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Abigail McKenzie Goode Trust</w:t>
            </w:r>
            <w:r>
              <w:rPr>
                <w:rFonts w:ascii="Times;serif" w:hAnsi="Times;serif"/>
                <w:color w:val="008000"/>
                <w:position w:val="7"/>
                <w:sz w:val="16"/>
                <w:sz w:val="20"/>
                <w:shd w:fill="FFFFFF" w:val="clear"/>
              </w:rPr>
              <w:t>(6)</w:t>
            </w:r>
            <w:r>
              <w:rPr/>
              <w:t xml:space="preserve"> </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277,356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Abigail Payne 2024 GST Trust</w:t>
            </w:r>
            <w:r>
              <w:rPr>
                <w:rFonts w:ascii="Times;serif" w:hAnsi="Times;serif"/>
                <w:color w:val="008000"/>
                <w:position w:val="7"/>
                <w:sz w:val="16"/>
                <w:sz w:val="20"/>
                <w:shd w:fill="FFFFFF" w:val="clear"/>
              </w:rPr>
              <w:t>(6)</w:t>
            </w:r>
            <w:r>
              <w:rPr/>
              <w:t xml:space="preserve"> </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Madeleine C. Payne GST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14,009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7,533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16,999 shares in multiple trades at prices ranging from $15.115 to $16.015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is a trustee for each of Abigail McKenzie Goode Trust, Abigail Payne 2024 GST Trust, and Madeleine C. Payne GST Trust (together, the "Trusts"). The beneficiary of each of the Trusts is the Reporting Person or an immediate family member of the Reporting Person. As such, the Reporting Person may be deemed to beneficially own all of the shares held by the Trusts; however, the Reporting Person disclaims beneficial ownership of the shares held by the Trusts except to the extent of her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2444"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4693</Characters>
  <CharactersWithSpaces>5482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