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0499.xml.htm"/>
      <w:bookmarkStart w:id="1" w:name="kswkform4_1783630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McClain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TECHNOLOGIES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76,865</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8,228,459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41,329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8,187,130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93,260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8,093,870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52,004</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McClain GMM 2015 Trust</w:t>
            </w:r>
            <w:r>
              <w:rPr>
                <w:rFonts w:ascii="Times;serif" w:hAnsi="Times;serif"/>
                <w:color w:val="008000"/>
                <w:position w:val="7"/>
                <w:sz w:val="16"/>
                <w:sz w:val="20"/>
                <w:shd w:fill="FFFFFF" w:val="clear"/>
              </w:rPr>
              <w:t>(6)</w:t>
            </w:r>
            <w:r>
              <w:rPr/>
              <w:t xml:space="preserve"> </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17,335</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Paul N. McClain Gift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76,865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41,329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93,260 shares in multiple trades at prices ranging from $15.115 to $16.015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is a trustee for each of McClain GMM 2015 Trust and Paul N. McClain Gift Trust (together, the "Trusts"). The beneficiary of each of the Trusts is an immediate family member of the Reporting Person. As such, the Reporting Person may be deemed to beneficially own all of the shares held by the Trusts; however, the Reporting Person disclaims beneficial ownership of the shares held by the Trusts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498"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4619</Characters>
  <CharactersWithSpaces>5395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