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513.xml.htm"/>
      <w:bookmarkStart w:id="1" w:name="kswkform4_17914935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McClain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09"/>
        <w:gridCol w:w="780"/>
        <w:gridCol w:w="603"/>
        <w:gridCol w:w="337"/>
        <w:gridCol w:w="996"/>
        <w:gridCol w:w="416"/>
        <w:gridCol w:w="982"/>
        <w:gridCol w:w="1236"/>
        <w:gridCol w:w="955"/>
        <w:gridCol w:w="10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91,986</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8,001,884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7,989,977</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114,913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7,875,064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7,874,621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McClain GMM 2015 Trust</w:t>
            </w:r>
            <w:r>
              <w:rPr>
                <w:rFonts w:ascii="Times;serif" w:hAnsi="Times;serif"/>
                <w:color w:val="008000"/>
                <w:position w:val="7"/>
                <w:sz w:val="16"/>
                <w:sz w:val="20"/>
                <w:shd w:fill="FFFFFF" w:val="clear"/>
              </w:rPr>
              <w:t>(7)</w:t>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17,335</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Paul N. McClain Gift Trust</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91,986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11,907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114,913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443 shares in multiple trades at prices ranging from $20.44 to $20.445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is a trustee for each of McClain GMM 2015 Trust and Paul N. McClain Gift Trust (together, the "Trusts"). The beneficiary of each of the Trusts is an immediate family member of the Reporting Person. As such, the Reporting Person may be deemed to beneficially own all of the shares held by the Trusts; however, the Reporting Person disclaims beneficial ownership of the shares held by the Trusts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498"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4810</Characters>
  <CharactersWithSpaces>5597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